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425"/>
        </w:tabs>
        <w:adjustRightInd/>
        <w:spacing w:line="360" w:lineRule="auto"/>
        <w:ind w:left="425" w:hanging="425"/>
        <w:jc w:val="center"/>
        <w:textAlignment w:val="auto"/>
        <w:rPr>
          <w:rFonts w:ascii="黑体" w:hAnsi="黑体" w:eastAsia="黑体" w:cs="等线"/>
          <w:b/>
          <w:bCs/>
          <w:kern w:val="2"/>
          <w:sz w:val="28"/>
          <w:szCs w:val="21"/>
        </w:rPr>
      </w:pPr>
      <w:r>
        <w:rPr>
          <w:rFonts w:hint="eastAsia" w:ascii="黑体" w:hAnsi="黑体" w:eastAsia="黑体" w:cs="等线"/>
          <w:b/>
          <w:bCs/>
          <w:sz w:val="28"/>
          <w:szCs w:val="21"/>
        </w:rPr>
        <w:t>酶联免疫斑点分析仪-</w:t>
      </w:r>
      <w:r>
        <w:rPr>
          <w:rFonts w:hint="eastAsia" w:ascii="黑体" w:hAnsi="黑体" w:eastAsia="黑体" w:cs="等线"/>
          <w:b/>
          <w:bCs/>
          <w:kern w:val="2"/>
          <w:sz w:val="28"/>
          <w:szCs w:val="21"/>
        </w:rPr>
        <w:t>技术参数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一、设备用途和需求：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1、可见光单色、可见光双色的酶联免疫斑点实验结果分析。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2、空斑减少中和试验、病毒滴度测定等微生物斑点实验检测分析。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3、包括实验设计模块、读板计数模块、质控控制</w:t>
      </w:r>
      <w:bookmarkStart w:id="0" w:name="_GoBack"/>
      <w:bookmarkEnd w:id="0"/>
      <w:r>
        <w:rPr>
          <w:rFonts w:eastAsia="仿宋_GB2312"/>
          <w:kern w:val="2"/>
          <w:szCs w:val="21"/>
        </w:rPr>
        <w:t>、统计模块等。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二、技术参数：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*1、自动居中功能：无需三点定位，能够自动的对每个孔进行位置居中调节。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2、板类型材质包括：96孔、384孔板，白板、透明板、膜板、可拆卸条板等。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*3、顶部光源为点光源阵列，点光源数量≥40个。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*4、底部光源为平面LED光源，面积≥3cm×3cm。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5、金属丝杠传动载物台，能够有效避免皮带传动打滑、老化定位不准等问题，可编码的载物台控制系统，可以精确记录每个孔的坐标数据。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6、载物台位置移动精度自动校验功能，能够自动显示是否通过验证，并计算移动精度差异值。提供校验截屏图。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#7、独立的单色酶联免疫斑点分析软件：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7.1、用户设置计数参数：用户自主调整分析参数，实现不同情况下的参数设置。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7.2、智能动态分析：无需设置参数，无需要调用固定模版。对实验结果进行智能动态分析。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7.3、自动阈值设定：无需手动设置，自动设定阈值对特异性和非特异性斑点进行自动区分。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#8、独立的双色酶联免疫斑点分析软件，能够分析双色酶联免疫斑点实验中蓝色斑点、红色斑点和红蓝重叠斑点。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#9、微生物分析模块，包括专用底部光源和微生物斑点分析软件。软件提供6种分析模式，包括普通深色斑点，普通空白斑点，环形斑点等模式，提供软件截屏图说明每种模式。可以分析病毒斑、菌落、克隆斑，以及SARS-CoV-2中和实验检测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#10、独立的实验设计软件，用户可以在计划阶段，创建板布局，并为每个板生成条形码。将复孔组（例如一式三孔）的“斑点数”与对应的“样品编号”、“抗原编号”联系起来，并将此信息传递给自动统计分析软件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11、独立的统计分析软件，对免疫监测、疫苗测试，软件内置多种统计方法，对实验据进行统计分析。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12、数据输出：Excel、TXT、PPT、XML、PDF、CSV、FCS（流式格式）等实验数据格式。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13、软件包含FCS数据处理工具，可以分析单孔或者汇总多孔的FCS数据结果，准确生成斑点中心位置、面积、平均强度、中心强度相互关联的结果。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三、产品基本配置要求：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1、硬件配置：分析仪主机一台，数据处理分析工作站一台，专用载板两个，标准板一套。</w:t>
      </w:r>
    </w:p>
    <w:p>
      <w:pPr>
        <w:adjustRightInd/>
        <w:spacing w:line="360" w:lineRule="auto"/>
        <w:jc w:val="both"/>
        <w:textAlignment w:val="auto"/>
        <w:rPr>
          <w:rFonts w:eastAsia="仿宋_GB2312"/>
          <w:kern w:val="2"/>
          <w:szCs w:val="21"/>
        </w:rPr>
      </w:pPr>
      <w:r>
        <w:rPr>
          <w:rFonts w:eastAsia="仿宋_GB2312"/>
          <w:kern w:val="2"/>
          <w:szCs w:val="21"/>
        </w:rPr>
        <w:t>2、软件系统包括：图像获取软件，单色和多色酶联免疫斑点分析软件，微生物斑点分析软件，实验设计和统计软件，实验结果标记注释软件，系统备份恢复软件等。</w:t>
      </w:r>
    </w:p>
    <w:p>
      <w:pPr>
        <w:widowControl/>
        <w:rPr>
          <w:rFonts w:eastAsia="仿宋_GB2312"/>
          <w:sz w:val="32"/>
        </w:rPr>
      </w:pPr>
      <w:r>
        <w:rPr>
          <w:rFonts w:eastAsia="仿宋_GB2312"/>
          <w:color w:val="000000"/>
          <w:szCs w:val="21"/>
          <w:lang w:bidi="ar"/>
        </w:rPr>
        <w:t>备注：*表示必须完全符合的参数，#表示重要参数。</w:t>
      </w:r>
    </w:p>
    <w:p>
      <w:pPr>
        <w:adjustRightInd/>
        <w:spacing w:line="360" w:lineRule="auto"/>
        <w:jc w:val="both"/>
        <w:textAlignment w:val="auto"/>
        <w:rPr>
          <w:rFonts w:ascii="等线" w:hAnsi="等线" w:eastAsia="等线" w:cs="等线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lYzg4NTRiNTBiMjcwNTgyYWUyNDgzNTM0MmNlNDIifQ=="/>
  </w:docVars>
  <w:rsids>
    <w:rsidRoot w:val="00F37A7D"/>
    <w:rsid w:val="00102323"/>
    <w:rsid w:val="00615EC6"/>
    <w:rsid w:val="00A05BDA"/>
    <w:rsid w:val="00F37A7D"/>
    <w:rsid w:val="292E24A0"/>
    <w:rsid w:val="3C523CB6"/>
    <w:rsid w:val="51B7313F"/>
    <w:rsid w:val="706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1008</Words>
  <Characters>1068</Characters>
  <Lines>7</Lines>
  <Paragraphs>2</Paragraphs>
  <TotalTime>1</TotalTime>
  <ScaleCrop>false</ScaleCrop>
  <LinksUpToDate>false</LinksUpToDate>
  <CharactersWithSpaces>1068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2022-02-22T17:49:00Z</dcterms:created>
  <dc:creator>pei shijia</dc:creator>
  <cp:lastModifiedBy>马素芳</cp:lastModifiedBy>
  <dcterms:modified xsi:type="dcterms:W3CDTF">2022-12-14T06:01:04Z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23FD45E3D85449B7A9D484B380A99B98</vt:lpwstr>
  </property>
</Properties>
</file>